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190"/>
        <w:gridCol w:w="3106"/>
        <w:gridCol w:w="759"/>
        <w:gridCol w:w="365"/>
        <w:gridCol w:w="467"/>
        <w:gridCol w:w="263"/>
        <w:gridCol w:w="1473"/>
        <w:gridCol w:w="724"/>
        <w:gridCol w:w="899"/>
        <w:gridCol w:w="898"/>
        <w:gridCol w:w="896"/>
        <w:gridCol w:w="383"/>
        <w:gridCol w:w="350"/>
      </w:tblGrid>
      <w:tr w:rsidR="00F17E4B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Pr="00873EAD" w:rsidRDefault="00F17E4B">
            <w:pPr>
              <w:rPr>
                <w:lang w:val="en-US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F17E4B" w:rsidRDefault="00F17E4B"/>
        </w:tc>
        <w:tc>
          <w:tcPr>
            <w:tcW w:w="780" w:type="dxa"/>
            <w:shd w:val="clear" w:color="auto" w:fill="auto"/>
            <w:vAlign w:val="bottom"/>
          </w:tcPr>
          <w:p w:rsidR="00F17E4B" w:rsidRDefault="00F17E4B"/>
        </w:tc>
        <w:tc>
          <w:tcPr>
            <w:tcW w:w="375" w:type="dxa"/>
            <w:shd w:val="clear" w:color="auto" w:fill="auto"/>
            <w:vAlign w:val="bottom"/>
          </w:tcPr>
          <w:p w:rsidR="00F17E4B" w:rsidRDefault="00F17E4B"/>
        </w:tc>
        <w:tc>
          <w:tcPr>
            <w:tcW w:w="480" w:type="dxa"/>
            <w:shd w:val="clear" w:color="auto" w:fill="auto"/>
            <w:vAlign w:val="bottom"/>
          </w:tcPr>
          <w:p w:rsidR="00F17E4B" w:rsidRDefault="00F17E4B"/>
        </w:tc>
        <w:tc>
          <w:tcPr>
            <w:tcW w:w="270" w:type="dxa"/>
            <w:shd w:val="clear" w:color="auto" w:fill="auto"/>
            <w:vAlign w:val="bottom"/>
          </w:tcPr>
          <w:p w:rsidR="00F17E4B" w:rsidRDefault="00F17E4B"/>
        </w:tc>
        <w:tc>
          <w:tcPr>
            <w:tcW w:w="1515" w:type="dxa"/>
            <w:shd w:val="clear" w:color="auto" w:fill="auto"/>
            <w:vAlign w:val="bottom"/>
          </w:tcPr>
          <w:p w:rsidR="00F17E4B" w:rsidRDefault="00F17E4B"/>
        </w:tc>
        <w:tc>
          <w:tcPr>
            <w:tcW w:w="73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390" w:type="dxa"/>
            <w:shd w:val="clear" w:color="auto" w:fill="auto"/>
            <w:vAlign w:val="bottom"/>
          </w:tcPr>
          <w:p w:rsidR="00F17E4B" w:rsidRDefault="00F17E4B"/>
        </w:tc>
      </w:tr>
      <w:tr w:rsidR="00F17E4B" w:rsidRPr="009B47AF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350" w:type="dxa"/>
            <w:gridSpan w:val="3"/>
            <w:shd w:val="clear" w:color="auto" w:fill="auto"/>
            <w:vAlign w:val="bottom"/>
          </w:tcPr>
          <w:p w:rsidR="00F17E4B" w:rsidRDefault="00F17E4B"/>
        </w:tc>
        <w:tc>
          <w:tcPr>
            <w:tcW w:w="480" w:type="dxa"/>
            <w:shd w:val="clear" w:color="auto" w:fill="auto"/>
            <w:vAlign w:val="bottom"/>
          </w:tcPr>
          <w:p w:rsidR="00F17E4B" w:rsidRDefault="00F17E4B">
            <w:pPr>
              <w:jc w:val="right"/>
            </w:pPr>
          </w:p>
        </w:tc>
        <w:tc>
          <w:tcPr>
            <w:tcW w:w="1785" w:type="dxa"/>
            <w:gridSpan w:val="2"/>
            <w:vMerge w:val="restart"/>
            <w:shd w:val="clear" w:color="auto" w:fill="auto"/>
            <w:vAlign w:val="bottom"/>
          </w:tcPr>
          <w:p w:rsidR="00F17E4B" w:rsidRDefault="00F17E4B"/>
        </w:tc>
        <w:tc>
          <w:tcPr>
            <w:tcW w:w="3870" w:type="dxa"/>
            <w:gridSpan w:val="5"/>
            <w:shd w:val="clear" w:color="auto" w:fill="auto"/>
            <w:vAlign w:val="bottom"/>
          </w:tcPr>
          <w:p w:rsidR="00873EAD" w:rsidRPr="009B47AF" w:rsidRDefault="00873EAD" w:rsidP="00873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47AF">
              <w:rPr>
                <w:rFonts w:ascii="Times New Roman" w:hAnsi="Times New Roman" w:cs="Times New Roman"/>
                <w:sz w:val="20"/>
                <w:szCs w:val="20"/>
              </w:rPr>
              <w:t>Приложение №</w:t>
            </w:r>
            <w:r w:rsidR="009B47AF"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B47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73EAD" w:rsidRPr="009B47AF" w:rsidRDefault="00873EAD" w:rsidP="00873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</w:t>
            </w:r>
            <w:proofErr w:type="spellStart"/>
            <w:r w:rsidRPr="009B47AF">
              <w:rPr>
                <w:rFonts w:ascii="Times New Roman" w:hAnsi="Times New Roman" w:cs="Times New Roman"/>
                <w:sz w:val="20"/>
                <w:szCs w:val="20"/>
              </w:rPr>
              <w:t>Кондопожского</w:t>
            </w:r>
            <w:proofErr w:type="spellEnd"/>
            <w:r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  <w:p w:rsidR="00873EAD" w:rsidRPr="009B47AF" w:rsidRDefault="00873EAD" w:rsidP="00873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</w:t>
            </w:r>
            <w:proofErr w:type="spellStart"/>
            <w:r w:rsidRPr="009B47AF">
              <w:rPr>
                <w:rFonts w:ascii="Times New Roman" w:hAnsi="Times New Roman" w:cs="Times New Roman"/>
                <w:sz w:val="20"/>
                <w:szCs w:val="20"/>
              </w:rPr>
              <w:t>Кондопожского</w:t>
            </w:r>
            <w:proofErr w:type="spellEnd"/>
            <w:r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 на 2026 год и  на плановый период 2027 и 2028 годов»</w:t>
            </w:r>
          </w:p>
          <w:p w:rsidR="00F17E4B" w:rsidRPr="009B47AF" w:rsidRDefault="00873EAD" w:rsidP="00873EA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47AF">
              <w:rPr>
                <w:rFonts w:ascii="Times New Roman" w:hAnsi="Times New Roman" w:cs="Times New Roman"/>
                <w:sz w:val="20"/>
                <w:szCs w:val="20"/>
              </w:rPr>
              <w:t>от 11 декабря 2025 г.</w:t>
            </w:r>
            <w:r w:rsidR="009B47AF" w:rsidRPr="009B47AF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</w:tc>
        <w:bookmarkStart w:id="0" w:name="_GoBack"/>
        <w:bookmarkEnd w:id="0"/>
      </w:tr>
      <w:tr w:rsidR="00F17E4B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350" w:type="dxa"/>
            <w:gridSpan w:val="3"/>
            <w:shd w:val="clear" w:color="auto" w:fill="auto"/>
          </w:tcPr>
          <w:p w:rsidR="00F17E4B" w:rsidRDefault="00F17E4B"/>
        </w:tc>
        <w:tc>
          <w:tcPr>
            <w:tcW w:w="480" w:type="dxa"/>
            <w:shd w:val="clear" w:color="auto" w:fill="auto"/>
            <w:vAlign w:val="bottom"/>
          </w:tcPr>
          <w:p w:rsidR="00F17E4B" w:rsidRDefault="00F17E4B">
            <w:pPr>
              <w:jc w:val="right"/>
            </w:pPr>
          </w:p>
        </w:tc>
        <w:tc>
          <w:tcPr>
            <w:tcW w:w="1785" w:type="dxa"/>
            <w:gridSpan w:val="2"/>
            <w:vMerge/>
            <w:shd w:val="clear" w:color="auto" w:fill="auto"/>
            <w:vAlign w:val="bottom"/>
          </w:tcPr>
          <w:p w:rsidR="00F17E4B" w:rsidRDefault="00F17E4B"/>
        </w:tc>
        <w:tc>
          <w:tcPr>
            <w:tcW w:w="73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390" w:type="dxa"/>
            <w:shd w:val="clear" w:color="auto" w:fill="auto"/>
            <w:vAlign w:val="bottom"/>
          </w:tcPr>
          <w:p w:rsidR="00F17E4B" w:rsidRDefault="00F17E4B"/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10485" w:type="dxa"/>
            <w:gridSpan w:val="12"/>
            <w:vMerge w:val="restart"/>
            <w:shd w:val="clear" w:color="auto" w:fill="auto"/>
            <w:vAlign w:val="bottom"/>
          </w:tcPr>
          <w:p w:rsidR="00F17E4B" w:rsidRDefault="00873EAD">
            <w:pPr>
              <w:jc w:val="center"/>
            </w:pPr>
            <w:r>
              <w:rPr>
                <w:b/>
                <w:sz w:val="17"/>
                <w:szCs w:val="17"/>
              </w:rPr>
              <w:t xml:space="preserve">Распределение бюджетных ассигнований на 2026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sz w:val="17"/>
                <w:szCs w:val="17"/>
              </w:rPr>
              <w:t>видов расходов классификации расходов бюджетов Бюджета</w:t>
            </w:r>
            <w:proofErr w:type="gramEnd"/>
            <w:r>
              <w:rPr>
                <w:b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sz w:val="17"/>
                <w:szCs w:val="17"/>
              </w:rPr>
              <w:t>Кондопожского</w:t>
            </w:r>
            <w:proofErr w:type="spellEnd"/>
            <w:r>
              <w:rPr>
                <w:b/>
                <w:sz w:val="17"/>
                <w:szCs w:val="17"/>
              </w:rPr>
              <w:t xml:space="preserve"> городского поселения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10485" w:type="dxa"/>
            <w:gridSpan w:val="12"/>
            <w:vMerge/>
            <w:shd w:val="clear" w:color="auto" w:fill="auto"/>
            <w:vAlign w:val="bottom"/>
          </w:tcPr>
          <w:p w:rsidR="00F17E4B" w:rsidRDefault="00F17E4B"/>
        </w:tc>
      </w:tr>
      <w:tr w:rsidR="00F17E4B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3195" w:type="dxa"/>
            <w:shd w:val="clear" w:color="auto" w:fill="auto"/>
            <w:vAlign w:val="bottom"/>
          </w:tcPr>
          <w:p w:rsidR="00F17E4B" w:rsidRDefault="00F17E4B"/>
        </w:tc>
        <w:tc>
          <w:tcPr>
            <w:tcW w:w="780" w:type="dxa"/>
            <w:shd w:val="clear" w:color="auto" w:fill="auto"/>
            <w:vAlign w:val="bottom"/>
          </w:tcPr>
          <w:p w:rsidR="00F17E4B" w:rsidRDefault="00F17E4B"/>
        </w:tc>
        <w:tc>
          <w:tcPr>
            <w:tcW w:w="375" w:type="dxa"/>
            <w:shd w:val="clear" w:color="auto" w:fill="auto"/>
            <w:vAlign w:val="bottom"/>
          </w:tcPr>
          <w:p w:rsidR="00F17E4B" w:rsidRDefault="00F17E4B"/>
        </w:tc>
        <w:tc>
          <w:tcPr>
            <w:tcW w:w="480" w:type="dxa"/>
            <w:shd w:val="clear" w:color="auto" w:fill="auto"/>
            <w:vAlign w:val="bottom"/>
          </w:tcPr>
          <w:p w:rsidR="00F17E4B" w:rsidRDefault="00F17E4B"/>
        </w:tc>
        <w:tc>
          <w:tcPr>
            <w:tcW w:w="270" w:type="dxa"/>
            <w:shd w:val="clear" w:color="auto" w:fill="auto"/>
            <w:vAlign w:val="bottom"/>
          </w:tcPr>
          <w:p w:rsidR="00F17E4B" w:rsidRDefault="00F17E4B"/>
        </w:tc>
        <w:tc>
          <w:tcPr>
            <w:tcW w:w="1515" w:type="dxa"/>
            <w:shd w:val="clear" w:color="auto" w:fill="auto"/>
            <w:vAlign w:val="bottom"/>
          </w:tcPr>
          <w:p w:rsidR="00F17E4B" w:rsidRDefault="00F17E4B"/>
        </w:tc>
        <w:tc>
          <w:tcPr>
            <w:tcW w:w="73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915" w:type="dxa"/>
            <w:shd w:val="clear" w:color="auto" w:fill="auto"/>
            <w:vAlign w:val="bottom"/>
          </w:tcPr>
          <w:p w:rsidR="00F17E4B" w:rsidRDefault="00F17E4B"/>
        </w:tc>
        <w:tc>
          <w:tcPr>
            <w:tcW w:w="390" w:type="dxa"/>
            <w:shd w:val="clear" w:color="auto" w:fill="auto"/>
            <w:vAlign w:val="bottom"/>
          </w:tcPr>
          <w:p w:rsidR="00F17E4B" w:rsidRDefault="00F17E4B"/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F17E4B">
        <w:trPr>
          <w:cantSplit/>
          <w:trHeight w:val="1790"/>
          <w:tblHeader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17E4B" w:rsidRDefault="00873EAD">
            <w:pPr>
              <w:wordWrap w:val="0"/>
              <w:jc w:val="center"/>
            </w:pPr>
            <w:r>
              <w:rPr>
                <w:b/>
                <w:sz w:val="17"/>
                <w:szCs w:val="17"/>
              </w:rPr>
              <w:t>Наименование</w:t>
            </w:r>
          </w:p>
        </w:tc>
        <w:tc>
          <w:tcPr>
            <w:tcW w:w="1755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F17E4B" w:rsidRDefault="00873EAD">
            <w:pPr>
              <w:jc w:val="center"/>
            </w:pPr>
            <w:r>
              <w:rPr>
                <w:b/>
                <w:sz w:val="17"/>
                <w:szCs w:val="17"/>
              </w:rPr>
              <w:t>Целевой статьи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F17E4B" w:rsidRDefault="00873EAD">
            <w:pPr>
              <w:jc w:val="center"/>
            </w:pPr>
            <w:r>
              <w:rPr>
                <w:b/>
                <w:sz w:val="17"/>
                <w:szCs w:val="17"/>
              </w:rPr>
              <w:t>Вида расходов (группа, подгруппа)</w:t>
            </w:r>
          </w:p>
        </w:tc>
        <w:tc>
          <w:tcPr>
            <w:tcW w:w="29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17E4B" w:rsidRDefault="00873EAD">
            <w:pPr>
              <w:jc w:val="center"/>
            </w:pPr>
            <w:r>
              <w:rPr>
                <w:b/>
                <w:sz w:val="17"/>
                <w:szCs w:val="17"/>
              </w:rPr>
              <w:t>Бюджетные ассигнования сумма на год (</w:t>
            </w:r>
            <w:proofErr w:type="spellStart"/>
            <w:r>
              <w:rPr>
                <w:b/>
                <w:sz w:val="17"/>
                <w:szCs w:val="17"/>
              </w:rPr>
              <w:t>руб</w:t>
            </w:r>
            <w:proofErr w:type="spellEnd"/>
            <w:r>
              <w:rPr>
                <w:b/>
                <w:sz w:val="17"/>
                <w:szCs w:val="17"/>
              </w:rPr>
              <w:t>)</w:t>
            </w:r>
          </w:p>
        </w:tc>
      </w:tr>
      <w:tr w:rsidR="00F17E4B">
        <w:trPr>
          <w:cantSplit/>
          <w:trHeight w:val="14"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F17E4B"/>
        </w:tc>
        <w:tc>
          <w:tcPr>
            <w:tcW w:w="1755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F17E4B"/>
        </w:tc>
        <w:tc>
          <w:tcPr>
            <w:tcW w:w="1710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F17E4B"/>
        </w:tc>
        <w:tc>
          <w:tcPr>
            <w:tcW w:w="29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F17E4B"/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F17E4B">
        <w:trPr>
          <w:cantSplit/>
          <w:tblHeader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jc w:val="center"/>
            </w:pPr>
            <w:r>
              <w:rPr>
                <w:szCs w:val="15"/>
              </w:rPr>
              <w:t>1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center"/>
            </w:pPr>
            <w:r>
              <w:rPr>
                <w:szCs w:val="15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center"/>
            </w:pPr>
            <w:r>
              <w:rPr>
                <w:szCs w:val="15"/>
              </w:rPr>
              <w:t>5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center"/>
            </w:pPr>
            <w:r>
              <w:rPr>
                <w:szCs w:val="15"/>
              </w:rPr>
              <w:t>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0100000000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28 740 890,25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01К0100000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28 740 890,25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28 740 890,25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10 845 932,82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10 845 932,82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Муниципальная программа «Культура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0200000000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21 647 259,50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02К0100000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21 622 818,46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21 622 818,46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12 384 972,12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12 384 972,12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8 358 536,34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8 358 536,34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02К0200000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24 441,04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24 441,04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24 441,04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24 441,04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Муниципальная программа «Развитие системы защиты населения и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 от последствий чрезвычайных ситуаций и 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0300000000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85 845,36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Комплекс процессных мероприятий «Пожарная безопасность»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03К0100000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4 365,36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Реализация основных мероприятий по пожарной безопасности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4 365,36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4 365,36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03К0140311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4 365,36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Комплекс процессных мероприятий «Профилактика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03К0200000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Мероприятия, направленные на участие в профилактике терроризма, а также в минимизации и (или) ликвидации последствий проявлений терроризма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Непрограммные направления деятельности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209 929 553,76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Осуществление полномочий по осуществлению внешнего муниципального контроля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5500024010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880 000,00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Межбюджетные трансферты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5500024010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880 000,00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межбюджетные трансферты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5500024010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880 000,00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Резервный фонд Администрации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муниципального района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600 000,00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600 000,00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2 476 344,63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2 443 479,63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2 443 479,63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Резерв на оплату расходов, связанных с исполнением исполнительных документов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5500040112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4 160 000,00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4 160 000,00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5500040112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4 160 000,00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b/>
                <w:sz w:val="19"/>
                <w:szCs w:val="19"/>
              </w:rPr>
              <w:t>я(</w:t>
            </w:r>
            <w:proofErr w:type="gramEnd"/>
            <w:r>
              <w:rPr>
                <w:b/>
                <w:sz w:val="19"/>
                <w:szCs w:val="19"/>
              </w:rPr>
              <w:t>МСОН) жителей города Кондопога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803 770,00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Резервный фонд Администрации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Мероприятия, направленные на создание условий для предоставления транспортных услуг населению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3 034 000,00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3 034 000,00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3 034 000,00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 в области жилищного хозяйства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811 447,20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811 447,20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811 447,20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1 890 288,89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1 890 288,89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1 890 288,89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57 976,57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57 976,57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57 976,57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Уличное освещение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18 153 423,71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18 153 423,71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18 153 423,71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Озеленение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4 655 000,00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4 655 000,00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4 655 000,00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Организация и содержание мест захоронения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4 802 264,00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4 802 264,00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4 802 264,00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Прочие мероприятия по благоустройству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22 248 982,36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22 248 982,36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22 248 982,36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6 547 367,04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6 547 367,04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6 547 367,04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254 518,21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1 180 244,64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Социальное обеспечение и иные выплаты населению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300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Публичные нормативные социальные выплаты гражданам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310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Приобретение благоустроенного жилого помещения в целях исполнения судебного решения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3 529 322,40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400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3 529 322,40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Бюджетные инвестиции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5500090510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410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3 529 322,40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46 604 466,27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46 604 466,27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46 604 466,27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55НИ400000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8 438 137,84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8 438 137,84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8 438 137,84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8 438 137,84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>Региональный проект «Региональная и местная дорожная сеть» в рамках реализации национального проекта «Инфраструктура для жизни»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55НИ800000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78 300 000,00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b/>
                <w:sz w:val="19"/>
                <w:szCs w:val="19"/>
              </w:rPr>
              <w:t xml:space="preserve">Реализация мероприятий по финансовому обеспечению дорожной деятельности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55НИ89Д070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78 300 000,00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55НИ89Д070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78 300 000,00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17E4B" w:rsidRDefault="00873EAD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55НИ89Д070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wordWrap w:val="0"/>
              <w:jc w:val="right"/>
            </w:pPr>
            <w:r>
              <w:rPr>
                <w:szCs w:val="15"/>
              </w:rPr>
              <w:t>78 300 000,00</w:t>
            </w:r>
          </w:p>
        </w:tc>
      </w:tr>
      <w:tr w:rsidR="00F17E4B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17E4B" w:rsidRDefault="00F17E4B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jc w:val="right"/>
            </w:pPr>
            <w:r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17E4B" w:rsidRDefault="00873EAD">
            <w:pPr>
              <w:jc w:val="right"/>
            </w:pPr>
            <w:r>
              <w:rPr>
                <w:b/>
                <w:sz w:val="23"/>
                <w:szCs w:val="23"/>
              </w:rPr>
              <w:t>260 403 548,87</w:t>
            </w:r>
          </w:p>
        </w:tc>
      </w:tr>
    </w:tbl>
    <w:p w:rsidR="00EF2BB0" w:rsidRDefault="00EF2BB0"/>
    <w:sectPr w:rsidR="00EF2BB0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BB0" w:rsidRDefault="00873EAD">
      <w:pPr>
        <w:spacing w:after="0" w:line="240" w:lineRule="auto"/>
      </w:pPr>
      <w:r>
        <w:separator/>
      </w:r>
    </w:p>
  </w:endnote>
  <w:endnote w:type="continuationSeparator" w:id="0">
    <w:p w:rsidR="00EF2BB0" w:rsidRDefault="0087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BB0" w:rsidRDefault="00873EAD">
      <w:pPr>
        <w:spacing w:after="0" w:line="240" w:lineRule="auto"/>
      </w:pPr>
      <w:r>
        <w:separator/>
      </w:r>
    </w:p>
  </w:footnote>
  <w:footnote w:type="continuationSeparator" w:id="0">
    <w:p w:rsidR="00EF2BB0" w:rsidRDefault="00873E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8711701"/>
      <w:docPartObj>
        <w:docPartGallery w:val="Page Numbers (Top of Page)"/>
      </w:docPartObj>
    </w:sdtPr>
    <w:sdtEndPr/>
    <w:sdtContent>
      <w:p w:rsidR="00F17E4B" w:rsidRDefault="00873EAD">
        <w:r>
          <w:ptab w:relativeTo="margin" w:alignment="right" w:leader="none"/>
        </w:r>
        <w:r>
          <w:rPr>
            <w:rFonts w:ascii="Arial" w:hAnsi="Arial"/>
            <w:sz w:val="15"/>
          </w:rPr>
          <w:t xml:space="preserve">Страница </w:t>
        </w:r>
        <w:r>
          <w:rPr>
            <w:rFonts w:ascii="Arial" w:hAnsi="Arial"/>
            <w:sz w:val="15"/>
          </w:rPr>
          <w:fldChar w:fldCharType="begin"/>
        </w:r>
        <w:r>
          <w:rPr>
            <w:rFonts w:ascii="Arial" w:hAnsi="Arial"/>
            <w:sz w:val="15"/>
          </w:rPr>
          <w:instrText>PAGE   \* MERGEFORMAT</w:instrText>
        </w:r>
        <w:r>
          <w:rPr>
            <w:rFonts w:ascii="Arial" w:hAnsi="Arial"/>
            <w:sz w:val="15"/>
          </w:rPr>
          <w:fldChar w:fldCharType="separate"/>
        </w:r>
        <w:r w:rsidR="009B47AF">
          <w:rPr>
            <w:rFonts w:ascii="Arial" w:hAnsi="Arial"/>
            <w:noProof/>
            <w:sz w:val="15"/>
          </w:rPr>
          <w:t>5</w:t>
        </w:r>
        <w:r>
          <w:rPr>
            <w:rFonts w:ascii="Arial" w:hAnsi="Arial"/>
            <w:sz w:val="15"/>
          </w:rPr>
          <w:fldChar w:fldCharType="end"/>
        </w:r>
      </w:p>
    </w:sdtContent>
  </w:sdt>
  <w:p w:rsidR="00F17E4B" w:rsidRDefault="00F17E4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17E4B"/>
    <w:rsid w:val="00873EAD"/>
    <w:rsid w:val="009B47AF"/>
    <w:rsid w:val="00EF2BB0"/>
    <w:rsid w:val="00F1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873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73EAD"/>
  </w:style>
  <w:style w:type="paragraph" w:styleId="a6">
    <w:name w:val="Balloon Text"/>
    <w:basedOn w:val="a"/>
    <w:link w:val="a7"/>
    <w:uiPriority w:val="99"/>
    <w:semiHidden/>
    <w:unhideWhenUsed/>
    <w:rsid w:val="009B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4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Вероника Викторовна Михайловская</cp:lastModifiedBy>
  <cp:revision>3</cp:revision>
  <cp:lastPrinted>2025-12-12T08:42:00Z</cp:lastPrinted>
  <dcterms:created xsi:type="dcterms:W3CDTF">2025-12-11T07:28:00Z</dcterms:created>
  <dcterms:modified xsi:type="dcterms:W3CDTF">2025-12-12T08:42:00Z</dcterms:modified>
</cp:coreProperties>
</file>